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Enterprise Data Governance and Regulatory Risk Mitigation</w:t>
      </w:r>
    </w:p>
    <w:p>
      <w:pPr>
        <w:spacing w:after="120"/>
      </w:pPr>
      <w:r>
        <w:t>PayPal’s HR organization faced significant operational and regulatory risks due to fragmented employee location data across multiple enterprise systems. This initiative successfully re-established a global data governance program, consolidating disparate information into a single authoritative source within the master data management platform to ensure compliance and operational reliability.</w:t>
      </w:r>
    </w:p>
    <w:p>
      <w:pPr>
        <w:pStyle w:val="Heading2"/>
        <w:keepNext/>
        <w:spacing w:before="120" w:after="0"/>
      </w:pPr>
      <w:r>
        <w:t>Context</w:t>
      </w:r>
    </w:p>
    <w:p>
      <w:pPr>
        <w:spacing w:after="120"/>
      </w:pPr>
      <w:r>
        <w:t>The HR organization at PayPal operated within a complex landscape where employee profiles were created using inconsistent regional templates. These structural discrepancies, which had persisted since 2016, became a critical liability by 2020 as pandemic-driven shifts highlighted the necessity of accurate workforce data. Reliable information was no longer just a matter of data quality; it was essential for tax reporting, regulatory compliance, and emergency notification systems.</w:t>
      </w:r>
    </w:p>
    <w:p>
      <w:pPr>
        <w:pStyle w:val="Heading2"/>
        <w:keepNext/>
        <w:spacing w:before="120" w:after="0"/>
      </w:pPr>
      <w:r>
        <w:t>What needed to change</w:t>
      </w:r>
    </w:p>
    <w:p>
      <w:pPr>
        <w:spacing w:after="120"/>
      </w:pPr>
      <w:r>
        <w:t>The primary challenge was the fragmentation of workforce data across eleven different workstreams, each operating with its own priorities and lack of centralized visibility. To resolve the mounting regulatory risks, the organization needed to transition from reactive data correction to a proactive, governed operating model. This required the establishment of a single authoritative data source that could serve as the bedrock for all downstream enterprise systems.</w:t>
      </w:r>
    </w:p>
    <w:p>
      <w:pPr>
        <w:pStyle w:val="Heading2"/>
        <w:keepNext/>
        <w:spacing w:before="120" w:after="0"/>
      </w:pPr>
      <w:r>
        <w:t>How the work was led</w:t>
      </w:r>
    </w:p>
    <w:p>
      <w:pPr>
        <w:spacing w:after="120"/>
      </w:pPr>
      <w:r>
        <w:t>The intervention focused on introducing rigorous program-level governance to align eight core application workstreams under a unified structure. A comprehensive business case and prioritization model were developed to regain executive alignment and provide clear strategic direction. By implementing structured review cadences and standardized processes for risk management, testing, and change management, the program restored execution control and ensured continuous momentum across all participating teams.</w:t>
      </w:r>
    </w:p>
    <w:p>
      <w:pPr>
        <w:pStyle w:val="Heading2"/>
        <w:keepNext/>
        <w:spacing w:before="120" w:after="0"/>
      </w:pPr>
      <w:r>
        <w:t>What changed</w:t>
      </w:r>
    </w:p>
    <w:p>
      <w:pPr>
        <w:spacing w:after="120"/>
      </w:pPr>
      <w:r>
        <w:t>The program successfully established a centralized control point for workforce data within the master data management platform, enabling a seamless transition to a governed operating model. This shift significantly reduced regulatory and operational risks by improving the reliability of data used for compliance and tax processes. Furthermore, the initiative strengthened executive visibility and provided a sustainable governance framework that continues to support reliable system integration across the enterprise.</w:t>
      </w:r>
    </w:p>
    <w:p>
      <w:pPr>
        <w:pStyle w:val="Heading2"/>
        <w:keepNext/>
        <w:spacing w:before="120" w:after="0"/>
      </w:pPr>
      <w:r>
        <w:t>Why it mattered</w:t>
      </w:r>
    </w:p>
    <w:p>
      <w:pPr>
        <w:spacing w:after="120"/>
      </w:pPr>
      <w:r>
        <w:t>Beyond the immediate improvements in data quality, this work created a stable and controlled execution environment for managing sensitive enterprise workforce data. By resolving long-standing inconsistencies and aligning cross-functional efforts, the organization moved from a state of fragmented risk to one of governed reliability, ensuring that its most critical human resource data can be managed and trusted at a global scale.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