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Healthcare Merger Integration Recovery and Execution Governance</w:t>
      </w:r>
    </w:p>
    <w:p>
      <w:pPr>
        <w:spacing w:after="120"/>
      </w:pPr>
      <w:r>
        <w:t>During the high-stakes merger between CVS Health and Aetna, the integration of Medicare and Medicaid workstreams faced significant delays, threatening day-one readiness. By shifting from task-based tracking to a deliverable-driven governance model, the program restored executive visibility and accelerated execution, ultimately bringing delayed workstreams ahead of schedule and securing a seamless transition to unified operations.</w:t>
      </w:r>
    </w:p>
    <w:p>
      <w:pPr>
        <w:pStyle w:val="Heading2"/>
        <w:keepNext/>
        <w:spacing w:before="120" w:after="0"/>
      </w:pPr>
      <w:r>
        <w:t>Context</w:t>
      </w:r>
    </w:p>
    <w:p>
      <w:pPr>
        <w:spacing w:after="120"/>
      </w:pPr>
      <w:r>
        <w:t>The merger of CVS Health and Aetna represented one of the most complex integrations in the healthcare sector, requiring the synchronization of vast operational and regulatory frameworks. To manage this transition, the program established multiple independent workstreams, each tasked with coordinating activities essential for day-one readiness. However, as the integration progressed, the Medicare and Medicaid workstreams—both of which carried immense regulatory weight and operational significance—began to falter. The independent nature of these workstreams, while intended to promote agility, led to fragmented execution and a gradual erosion of schedule confidence at the executive level.</w:t>
      </w:r>
    </w:p>
    <w:p>
      <w:pPr>
        <w:pStyle w:val="Heading2"/>
        <w:keepNext/>
        <w:spacing w:before="120" w:after="0"/>
      </w:pPr>
      <w:r>
        <w:t>What needed to change</w:t>
      </w:r>
    </w:p>
    <w:p>
      <w:pPr>
        <w:spacing w:after="120"/>
      </w:pPr>
      <w:r>
        <w:t>As deliverables slipped and coordination between CVS and Aetna teams weakened, it became clear that the existing project management approach was insufficient for the scale of the challenge. Leadership visibility into actual progress had diminished, leaving senior executives unable to make informed decisions under time pressure. The focus had shifted toward managing task activity rather than achieving specific integration outcomes. To recover the schedule and restore confidence, the program needed a disciplined mechanism to stabilize active work, clarify near-term commitments, and bridge the communication gap between the two legacy organizations.</w:t>
      </w:r>
    </w:p>
    <w:p>
      <w:pPr>
        <w:pStyle w:val="Heading2"/>
        <w:keepNext/>
        <w:spacing w:before="120" w:after="0"/>
      </w:pPr>
      <w:r>
        <w:t>How the work was led</w:t>
      </w:r>
    </w:p>
    <w:p>
      <w:pPr>
        <w:spacing w:after="120"/>
      </w:pPr>
      <w:r>
        <w:t>The recovery effort focused on implementing a deliverable-driven governance framework that prioritized outcome accountability over simple activity tracking. A structured project management methodology was introduced to align executive ownership directly with specific milestones and deadlines. Central to this approach was the development of a "tri-view" executive scorecard, which provided a transparent look at deliverables that were past due, due within the current week, and upcoming over the next fortnight. This forward-looking orientation allowed the team to identify and communicate potential bottlenecks two to four weeks in advance, enabling proactive intervention rather than reactive troubleshooting.</w:t>
      </w:r>
    </w:p>
    <w:p>
      <w:pPr>
        <w:pStyle w:val="Heading2"/>
        <w:keepNext/>
        <w:spacing w:before="120" w:after="0"/>
      </w:pPr>
      <w:r>
        <w:t>What changed</w:t>
      </w:r>
    </w:p>
    <w:p>
      <w:pPr>
        <w:spacing w:after="120"/>
      </w:pPr>
      <w:r>
        <w:t>The transition to a more disciplined execution model yielded immediate results. Delayed workstreams were stabilized, and the team successfully recovered overdue deliverables while simultaneously accelerating upcoming commitments. This shift not only regained the lost schedule position but moved the workstreams to a state where they were operating ahead of their original timelines. Executive visibility was significantly enhanced through the new reporting cadences, allowing senior leaders to balance their ongoing operational responsibilities with the urgent demands of the merger. By the time unified operations commenced, all project plans were completed in advance, eliminating the uncertainty that often plagues large-scale integrations.</w:t>
      </w:r>
    </w:p>
    <w:p>
      <w:pPr>
        <w:pStyle w:val="Heading2"/>
        <w:keepNext/>
        <w:spacing w:before="120" w:after="0"/>
      </w:pPr>
      <w:r>
        <w:t>Why it mattered</w:t>
      </w:r>
    </w:p>
    <w:p>
      <w:pPr>
        <w:spacing w:after="120"/>
      </w:pPr>
      <w:r>
        <w:t>The success of this intervention went beyond simple schedule recovery; it established a sustainable execution model for a high-stakes corporate transition. By restoring confidence in the integration timeline and strengthening the coordination between CVS and Aetna leadership, the program ensured that critical healthcare services remained uninterrupted during the merger. The disciplined governance and transparent reporting introduced during this period provided the foundation for a stable, unified organization capable of meeting its regulatory obligations and operational goals from day one.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b w:val="0"/>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b/>
      <w:bCs/>
      <w:color w:val="365F91" w:themeColor="accent1" w:themeShade="BF"/>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Display" w:hAnsi="Aptos Display"/>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