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Global Sales Performance Platform Transformation</w:t>
      </w:r>
    </w:p>
    <w:p>
      <w:pPr>
        <w:spacing w:after="120"/>
      </w:pPr>
      <w:r>
        <w:t>American Express undertook a global initiative to modernize its legacy Sales Performance System (SPS) by migrating to Cornerstone OnDemand. This transformation aimed to replace a fragmented, regionally inconsistent system with a centralized, cloud-based platform for tracking corporate card spending and sales performance. As an EPMO consultant, the focus was on establishing a robust execution structure and governance model to navigate complex regional variations, undocumented logic, and cross-functional dependencies, ensuring a seamless transition and a scalable foundation for future rollouts.</w:t>
      </w:r>
    </w:p>
    <w:p>
      <w:pPr>
        <w:pStyle w:val="Heading2"/>
        <w:keepNext/>
        <w:spacing w:before="120" w:after="0"/>
      </w:pPr>
      <w:r>
        <w:t>Context</w:t>
      </w:r>
    </w:p>
    <w:p>
      <w:pPr>
        <w:spacing w:after="120"/>
      </w:pPr>
      <w:r>
        <w:t>The legacy Sales Performance System at American Express had become a complex web of regional fragmentations, relying on inconsistent processes and manual data inputs. While it served the critical function of aggregating data for sales metrics and incentives, the lack of a centralized system of record created operational inefficiencies and visibility gaps. The shift to Cornerstone OnDemand represented a strategic move toward a unified global standard, but the transition was complicated by the need to maintain business continuity across diverse regional requirements and undocumented legacy logic.</w:t>
      </w:r>
    </w:p>
    <w:p>
      <w:pPr>
        <w:pStyle w:val="Heading2"/>
        <w:keepNext/>
        <w:spacing w:before="120" w:after="0"/>
      </w:pPr>
      <w:r>
        <w:t>What needed to change</w:t>
      </w:r>
    </w:p>
    <w:p>
      <w:pPr>
        <w:spacing w:after="120"/>
      </w:pPr>
      <w:r>
        <w:t>The primary challenge lay in the evolution of the legacy system, which harbored years of undocumented calculation logic and manual workarounds. Migrating this complexity required more than just a technical shift; it demanded a deep understanding of regional data nuances and a strategy to reconcile them within a standardized global framework. Furthermore, the program faced significant portfolio-level pressure, with competing priorities and resource constraints that threatened to derail the critical path. A structured approach to discovery and a disciplined governance model were essential to move from reactive regional management to a proactive, aligned global execution.</w:t>
      </w:r>
    </w:p>
    <w:p>
      <w:pPr>
        <w:pStyle w:val="Heading2"/>
        <w:keepNext/>
        <w:spacing w:before="120" w:after="0"/>
      </w:pPr>
      <w:r>
        <w:t>How the work was led</w:t>
      </w:r>
    </w:p>
    <w:p>
      <w:pPr>
        <w:spacing w:after="120"/>
      </w:pPr>
      <w:r>
        <w:t>The intervention began with a comprehensive discovery phase to map data sources, system dependencies, and calculation logic, specifically targeting the replacement or automation of manual processes. Governance was institutionalized through standardized reporting cadences, risk management protocols, and milestone tracking, which fostered accountability across product, sales, and development teams. At the portfolio level, the execution strategy was refined by prioritizing high-impact activities, aligning resources across teams, and adjusting product roadmaps to mitigate sequencing risks. This cross-functional coordination ensured that data ingestion and hierarchy structures remained consistent throughout the migration.</w:t>
      </w:r>
    </w:p>
    <w:p>
      <w:pPr>
        <w:pStyle w:val="Heading2"/>
        <w:keepNext/>
        <w:spacing w:before="120" w:after="0"/>
      </w:pPr>
      <w:r>
        <w:t>What changed</w:t>
      </w:r>
    </w:p>
    <w:p>
      <w:pPr>
        <w:spacing w:after="120"/>
      </w:pPr>
      <w:r>
        <w:t>The successful migration established Cornerstone as the centralized system of record for sales performance and incentive data globally. This transformation significantly reduced the organization's reliance on fragmented legacy systems and manual inputs, improving the accuracy and accessibility of performance metrics. By aligning data, calculations, and reporting within a single platform, American Express gained a more transparent and reliable view of its sales performance. Additionally, the governance and execution standards developed during the EMEA rollout provided a proven blueprint for subsequent regional implementations, accelerating the broader global transformation.</w:t>
      </w:r>
    </w:p>
    <w:p>
      <w:pPr>
        <w:pStyle w:val="Heading2"/>
        <w:keepNext/>
        <w:spacing w:before="120" w:after="0"/>
      </w:pPr>
      <w:r>
        <w:t>Why it mattered</w:t>
      </w:r>
    </w:p>
    <w:p>
      <w:pPr>
        <w:spacing w:after="120"/>
      </w:pPr>
      <w:r>
        <w:t>Modernizing the sales performance infrastructure was not just a technical upgrade; it was a foundational shift that enabled more agile and data-driven decision-making. By eliminating regional silos and manual dependencies, the organization could now scale its sales operations with greater confidence and consistency. This alignment between product leadership and execution capability ensured that the platform could support evolving business needs while maintaining the integrity of its performance incentives, ultimately driving a more competitive and transparent sales culture across the enterprise.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b w:val="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