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Enterprise AWS Cloud Transformation Governance and Execution Alignment</w:t>
      </w:r>
    </w:p>
    <w:p>
      <w:pPr>
        <w:spacing w:after="120"/>
      </w:pPr>
      <w:r>
        <w:t>CSAA Insurance Group embarked on an ambitious AWS cloud transformation to modernize its infrastructure. However, after a year of effort, the initiative lacked a cohesive structure, resulting in siloed work across DevOps, SecOps, and Infrastructure teams. By introducing a formal program governance framework and a long-term strategic roadmap, the organization moved from fragmented activity to a disciplined, transparent execution model that aligned technical delivery with executive objectives.</w:t>
      </w:r>
    </w:p>
    <w:p>
      <w:pPr>
        <w:pStyle w:val="Heading2"/>
        <w:keepNext/>
        <w:spacing w:before="120" w:after="0"/>
      </w:pPr>
      <w:r>
        <w:t>Context</w:t>
      </w:r>
    </w:p>
    <w:p>
      <w:pPr>
        <w:spacing w:after="120"/>
      </w:pPr>
      <w:r>
        <w:t>CSAA Insurance Group, a prominent AAA company, recognized the need for an enterprise-wide shift to AWS to enhance its operational agility and technical resilience. The transformation was backed by executive sponsorship and a clear architectural vision. Despite these foundational elements, the practical execution was distributed across independent functional silos. DevOps, SecOps, and Infrastructure teams were all contributing to the cloud migration, but they were doing so within their own internal priorities and without a central mechanism to manage the complex interdependencies inherent in a large-scale cloud adoption.</w:t>
      </w:r>
    </w:p>
    <w:p>
      <w:pPr>
        <w:pStyle w:val="Heading2"/>
        <w:keepNext/>
        <w:spacing w:before="120" w:after="0"/>
      </w:pPr>
      <w:r>
        <w:t>What needed to change</w:t>
      </w:r>
    </w:p>
    <w:p>
      <w:pPr>
        <w:spacing w:after="120"/>
      </w:pPr>
      <w:r>
        <w:t>The primary challenge was not a lack of technical capability or tooling, but rather the absence of execution control. After twelve months of effort, the lack of a unifying program structure meant that there was no shared visibility into progress or risks. Dependencies between security protocols, infrastructure provisioning, and development workflows were managed ad hoc, leading to friction and inconsistent momentum. The organization needed to move away from isolated pockets of activity and toward a structured portfolio and program framework that could synchronize these diverse workstreams under a single, governed initiative.</w:t>
      </w:r>
    </w:p>
    <w:p>
      <w:pPr>
        <w:pStyle w:val="Heading2"/>
        <w:keepNext/>
        <w:spacing w:before="120" w:after="0"/>
      </w:pPr>
      <w:r>
        <w:t>How the work was led</w:t>
      </w:r>
    </w:p>
    <w:p>
      <w:pPr>
        <w:spacing w:after="120"/>
      </w:pPr>
      <w:r>
        <w:t>The intervention focused on building a robust program structure to unify the siloed efforts. We established cross-functional executive review cadences that brought together leaders from DevOps, SecOps, and Infrastructure, creating a shared forum for reporting and decision-making. A comprehensive three-year transformation roadmap was developed to define the sequencing and release timelines for the entire enterprise. To ensure consistency, we implemented a formal portfolio and program framework aligned with VP-level strategic objectives, supported by standardized operating procedures, scorecards, and delivery controls. Furthermore, project managers were coached on Agile delivery practices to strengthen execution discipline across the teams.</w:t>
      </w:r>
    </w:p>
    <w:p>
      <w:pPr>
        <w:pStyle w:val="Heading2"/>
        <w:keepNext/>
        <w:spacing w:before="120" w:after="0"/>
      </w:pPr>
      <w:r>
        <w:t>What changed</w:t>
      </w:r>
    </w:p>
    <w:p>
      <w:pPr>
        <w:spacing w:after="120"/>
      </w:pPr>
      <w:r>
        <w:t>The introduction of these governance standards transformed the AWS initiative into a cohesive, transparent program. Silos were dismantled in favor of a shared execution model where teams operated with full visibility into each other’s priorities and dependencies. Leadership gained a reliable, long-term roadmap and the controls necessary to monitor progress against strategic goals. While the program was eventually paused due to the global pandemic, the organization was left with a fully defined and sustainable operating structure. This framework ensured that the enterprise was positioned to resume its cloud transformation with immediate clarity and coordination.</w:t>
      </w:r>
    </w:p>
    <w:p>
      <w:pPr>
        <w:pStyle w:val="Heading2"/>
        <w:keepNext/>
        <w:spacing w:before="120" w:after="0"/>
      </w:pPr>
      <w:r>
        <w:t>Why it mattered</w:t>
      </w:r>
    </w:p>
    <w:p>
      <w:pPr>
        <w:spacing w:after="120"/>
      </w:pPr>
      <w:r>
        <w:t>This engagement demonstrated that successful enterprise transformation requires more than just technical expertise; it requires disciplined execution control. By aligning fragmented workstreams and establishing a sustainable governance model, CSAA Insurance Group moved beyond reactive, siloed activity to a state of strategic readiness. The outcome was the creation of a scalable execution engine capable of supporting complex, cross-functional transformations, ensuring that technical modernizations are delivered with the transparency and accountability required at the executive level.</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b w:val="0"/>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b/>
      <w:bCs/>
      <w:color w:val="365F91" w:themeColor="accent1" w:themeShade="BF"/>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Display" w:hAnsi="Aptos Display"/>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