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Financial Integration Across a $2B Enterprise Merger</w:t>
      </w:r>
    </w:p>
    <w:p>
      <w:pPr>
        <w:spacing w:after="120"/>
      </w:pPr>
      <w:r>
        <w:t>Deloitte launched a global initiative to centralize independently operated member firm IT organizations into a unified structure. This massive undertaking required a robust financial operating model to ensure that costs were transparently allocated and recovered across diverse geographies. By introducing standardized governance and a clear execution framework, the program successfully transitioned from a fragmented landscape to a cohesive, financially accountable global entity.</w:t>
      </w:r>
    </w:p>
    <w:p>
      <w:pPr>
        <w:pStyle w:val="Heading2"/>
        <w:keepNext/>
        <w:spacing w:before="120" w:after="0"/>
      </w:pPr>
      <w:r>
        <w:t>Context</w:t>
      </w:r>
    </w:p>
    <w:p>
      <w:pPr>
        <w:spacing w:after="120"/>
      </w:pPr>
      <w:r>
        <w:t>The organization faced a significant challenge as member firms had historically operated with high levels of independence in service delivery and procurement. While this autonomy allowed for regional flexibility, it created substantial inconsistencies in cost management and financial accountability. As the firm moved toward a centralized IT structure, it became clear that the primary hurdle was not technical but operational and financial, requiring a way to fund centralized services while maintaining the trust of the independently funded member firms.</w:t>
      </w:r>
    </w:p>
    <w:p>
      <w:pPr>
        <w:pStyle w:val="Heading2"/>
        <w:keepNext/>
        <w:spacing w:before="120" w:after="0"/>
      </w:pPr>
      <w:r>
        <w:t>What needed to change</w:t>
      </w:r>
    </w:p>
    <w:p>
      <w:pPr>
        <w:spacing w:after="120"/>
      </w:pPr>
      <w:r>
        <w:t>There was no standardized model for how IT costs would be structured, allocated, or recovered once services were centralized. The absence of a consistent rate structure for global resources and a unified approach to billing meant that member firms could not accurately track their consumption or predict their financial obligations. To make the consolidation viable, the program needed to move beyond ad hoc coordination and establish a formal mechanism that provided clarity on how every dollar was spent and recovered across the global network.</w:t>
      </w:r>
    </w:p>
    <w:p>
      <w:pPr>
        <w:pStyle w:val="Heading2"/>
        <w:keepNext/>
        <w:spacing w:before="120" w:after="0"/>
      </w:pPr>
      <w:r>
        <w:t>How the work was led</w:t>
      </w:r>
    </w:p>
    <w:p>
      <w:pPr>
        <w:spacing w:after="120"/>
      </w:pPr>
      <w:r>
        <w:t>The integration was driven by the development of a comprehensive financial operating model that prioritized practical utility over theoretical design. A global IT rate card was established to standardize resource costing across all regions, creating a reliable baseline for financial planning. In parallel, a formal playbook was authored to define the end-to-end processes for billing and reporting, ensuring that member firms understood exactly how they would be charged from day one. This effort required active oversight and constant alignment between IT Finance and FP&amp;A teams to ensure financial readiness kept pace with the broader organizational shift.</w:t>
      </w:r>
    </w:p>
    <w:p>
      <w:pPr>
        <w:pStyle w:val="Heading2"/>
        <w:keepNext/>
        <w:spacing w:before="120" w:after="0"/>
      </w:pPr>
      <w:r>
        <w:t>What changed</w:t>
      </w:r>
    </w:p>
    <w:p>
      <w:pPr>
        <w:spacing w:after="120"/>
      </w:pPr>
      <w:r>
        <w:t>The implementation of the new operating model provided the centralized IT structure with the transparency and control necessary for long-term sustainability. Costs are now allocated and recovered with consistency, and service consumption is tracked through a standardized framework that supports rigorous financial accountability. Member firms now operate with a clear understanding of their financial commitments within the centralized model, replaced by a governed system that no longer relies on manual, localized workarounds.</w:t>
      </w:r>
    </w:p>
    <w:p>
      <w:pPr>
        <w:pStyle w:val="Heading2"/>
        <w:keepNext/>
        <w:spacing w:before="120" w:after="0"/>
      </w:pPr>
      <w:r>
        <w:t>Why it mattered</w:t>
      </w:r>
    </w:p>
    <w:p>
      <w:pPr>
        <w:spacing w:after="120"/>
      </w:pPr>
      <w:r>
        <w:t>This financial transformation was the linchpin that allowed the $2B merger to realize its intended operational efficiencies. By resolving the complexities of cross-border financial recovery, the organization eliminated a major source of friction and established a foundation for future global scale. The project proved that even the most complex organizational consolidations depend on the clarity of their financial mechanics, turning a potential risk into a structured, scalable advantage for the entire enterprise.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b w:val="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