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Statewide Compliance Readiness for Arizona Medicaid EVV</w:t>
      </w:r>
    </w:p>
    <w:p>
      <w:pPr>
        <w:spacing w:after="120"/>
      </w:pPr>
      <w:r>
        <w:t>When the Arizona Health Care Cost Containment System (AHCCCS) faced a federal mandate to implement Electronic Visit Verification (EVV) under the 21st Century Cures Act, the organization needed to navigate a high-stakes compliance landscape with significant regulatory and operational implications. This initiative required the rapid establishment of a structured governance framework to align multiple state agencies, external vendors, and healthcare providers, ensuring the state could meet strict federal requirements while maintaining service continuity for Medicaid members.</w:t>
      </w:r>
    </w:p>
    <w:p>
      <w:pPr>
        <w:pStyle w:val="Heading2"/>
        <w:keepNext/>
        <w:spacing w:before="120" w:after="0"/>
      </w:pPr>
      <w:r>
        <w:t>Context</w:t>
      </w:r>
    </w:p>
    <w:p>
      <w:pPr>
        <w:spacing w:after="120"/>
      </w:pPr>
      <w:r>
        <w:t>The 21st Century Cures Act introduced a mandatory requirement for states to implement EVV systems for Medicaid-funded personal care and home health services. For Arizona, this meant overseeing a complex program involving twelve different state agencies and a vast network of healthcare providers and managed care organizations. While external vendors were engaged to deliver the technical solution, the state initially lacked the internal resources and structured oversight necessary to manage such a large-scale, multi-stakeholder implementation under a defined federal timeline.</w:t>
      </w:r>
    </w:p>
    <w:p>
      <w:pPr>
        <w:pStyle w:val="Heading2"/>
        <w:keepNext/>
        <w:spacing w:before="120" w:after="0"/>
      </w:pPr>
      <w:r>
        <w:t>What needed to change</w:t>
      </w:r>
    </w:p>
    <w:p>
      <w:pPr>
        <w:spacing w:after="120"/>
      </w:pPr>
      <w:r>
        <w:t>Without a central point of execution control, the program faced substantial risks of schedule slippage, compliance gaps, and misalignment between participating organizations. The existing environment lacked a unified business model and a consistent approach to vendor management, which threatened the state's ability to achieve federal certification. To avoid these pitfalls, AHCCCS needed to transition from fragmented activity to a governed, transparent operating model that could satisfy both Centers for Medicare &amp; Medicaid Services (CMS) requirements and independent validation standards.</w:t>
      </w:r>
    </w:p>
    <w:p>
      <w:pPr>
        <w:pStyle w:val="Heading2"/>
        <w:keepNext/>
        <w:spacing w:before="120" w:after="0"/>
      </w:pPr>
      <w:r>
        <w:t>How the work was led</w:t>
      </w:r>
    </w:p>
    <w:p>
      <w:pPr>
        <w:spacing w:after="120"/>
      </w:pPr>
      <w:r>
        <w:t>The intervention focused on introducing rigorous program-level governance and a disciplined execution framework to guide the state through the certification and planning lifecycle. Strategic workshops were facilitated across all twelve agencies to define a future-state business model and align diverse stakeholders on shared program expectations. Vendor execution was brought under daily oversight, with structured reporting and progress tracking to ensure technical delivery remained synchronized with business objectives. A centralized collaboration environment was established to manage critical program artifacts—including RAID logs, decision logs, and investment justifications—while formalizing communication channels to executive leadership and federal partners.</w:t>
      </w:r>
    </w:p>
    <w:p>
      <w:pPr>
        <w:pStyle w:val="Heading2"/>
        <w:keepNext/>
        <w:spacing w:before="120" w:after="0"/>
      </w:pPr>
      <w:r>
        <w:t>What changed</w:t>
      </w:r>
    </w:p>
    <w:p>
      <w:pPr>
        <w:spacing w:after="120"/>
      </w:pPr>
      <w:r>
        <w:t>Through this structured approach, AHCCCS successfully achieved CMS certification and completed the critical business-side implementation lifecycle. The establishment of a controlled execution environment allowed the state to secure a federal waiver, providing the necessary time to transition into technical implementation without overextending internal IT resources. Leadership gained a clear, consistent view of program status and risks, which significantly strengthened confidence in the state's regulatory alignment and delivery capabilities.</w:t>
      </w:r>
    </w:p>
    <w:p>
      <w:pPr>
        <w:pStyle w:val="Heading2"/>
        <w:keepNext/>
        <w:spacing w:before="120" w:after="0"/>
      </w:pPr>
      <w:r>
        <w:t>Why it mattered</w:t>
      </w:r>
    </w:p>
    <w:p>
      <w:pPr>
        <w:spacing w:after="120"/>
      </w:pPr>
      <w:r>
        <w:t>By restoring execution control and ensuring federal compliance, the program protected Arizona's Medicaid funding while laying a sustainable foundation for statewide EVV implementation. The transition from reactive management to proactive governance not only satisfied immediate regulatory mandates but also improved long-term coordination across state agencies and healthcare partners. This structured framework ensures that the state can continue to deliver essential health services with the transparency and accountability required by federal law.</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b w:val="0"/>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b/>
      <w:bCs/>
      <w:color w:val="365F91" w:themeColor="accent1" w:themeShade="BF"/>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Display" w:hAnsi="Aptos Display"/>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